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6D" w:rsidRDefault="00034B6D">
      <w:pPr>
        <w:widowControl/>
        <w:spacing w:line="324" w:lineRule="atLeast"/>
        <w:rPr>
          <w:rFonts w:ascii="Times New Roman" w:eastAsia="方正黑体_GBK" w:cs="Times New Roman"/>
          <w:color w:val="000000"/>
          <w:kern w:val="0"/>
          <w:sz w:val="28"/>
          <w:szCs w:val="28"/>
        </w:rPr>
      </w:pPr>
    </w:p>
    <w:p w:rsidR="00034B6D" w:rsidRDefault="005C7D2C" w:rsidP="005C7D2C">
      <w:pPr xmlns:w="http://schemas.openxmlformats.org/wordprocessingml/2006/main"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 xmlns:w="http://schemas.openxmlformats.org/wordprocessingml/2006/main">
        <w:rPr>
          <w:rFonts w:ascii="Times New Roman" w:eastAsia="方正小标宋_GBK" w:cs="Times New Roman"/>
          <w:color w:val="000000"/>
          <w:kern w:val="0"/>
          <w:sz w:val="36"/>
          <w:szCs w:val="36"/>
        </w:rPr>
        <w:t xml:space="preserve">Условия регистрации и основные моменты проверки зарубежных производителей импортных сушеных овощей</w:t>
      </w:r>
    </w:p>
    <w:p w:rsidR="00034B6D" w:rsidRDefault="00034B6D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Регистрационный номер:</w:t>
      </w:r>
    </w:p>
    <w:p w:rsidR="00034B6D" w:rsidRDefault="00034B6D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Название компании:</w:t>
      </w:r>
    </w:p>
    <w:p w:rsidR="00034B6D" w:rsidRDefault="00034B6D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Адрес компании:</w:t>
      </w:r>
    </w:p>
    <w:p w:rsidR="00034B6D" w:rsidRDefault="00034B6D">
      <w:pPr xmlns:w="http://schemas.openxmlformats.org/wordprocessingml/2006/main"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 xmlns:w="http://schemas.openxmlformats.org/wordprocessingml/2006/main">
        <w:rPr>
          <w:rFonts w:ascii="方正黑体_GBK" w:eastAsia="方正黑体_GBK" w:hint="eastAsia"/>
          <w:sz w:val="24"/>
          <w:szCs w:val="24"/>
        </w:rPr>
        <w:t xml:space="preserve">Дата заполнения формы:</w:t>
      </w:r>
    </w:p>
    <w:p w:rsidR="00034B6D" w:rsidRDefault="00034B6D">
      <w:pPr xmlns:w="http://schemas.openxmlformats.org/wordprocessingml/2006/main"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 xmlns:w="http://schemas.openxmlformats.org/wordprocessingml/2006/main"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 xml:space="preserve">Инструкция по заполнению формы:</w:t>
      </w:r>
    </w:p>
    <w:p w:rsidR="00034B6D" w:rsidRDefault="00034B6D">
      <w:pPr xmlns:w="http://schemas.openxmlformats.org/wordprocessingml/2006/main"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 xmlns:w="http://schemas.openxmlformats.org/wordprocessingml/2006/main"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Согласно «Положениям Китайской Народной Республики о регистрации и администрировании зарубежных производителей импортных продуктов питания» (Приказ Главного таможенного управления № 248), зарубежные производители свежих и сушеных овощей и сушеных бобов, подающие заявку на регистрацию в Китае, обязаны поддерживать санитарные условия, соответствующие действующим китайским законам, правилам, стандартам и спецификациям, а также требованиям Протокола инспекции и карантина свежих и сушеных овощей и сушеных бобов, импортируемых в Китай. Данная форма предоставляется зарубежным органам, ответственным за импорт свежих и сушеных овощей и сушеных бобов, для проведения официальных проверок производителей свежих и сушеных овощей и сушеных бобов на основе перечисленных ключевых условий и критериев, а также ключевых критериев проверки. Кроме того, зарубежные производители свежих и сушеных овощей и сушеных бобов должны заполнить и представить подтверждающие документы на основе перечисленных ключевых условий и критериев, а также провести самопроверку на основе ключевых критериев проверки для самооценки перед подачей заявки на регистрацию.</w:t>
      </w:r>
    </w:p>
    <w:p w:rsidR="00034B6D" w:rsidRDefault="00034B6D">
      <w:pPr xmlns:w="http://schemas.openxmlformats.org/wordprocessingml/2006/main"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 xmlns:w="http://schemas.openxmlformats.org/wordprocessingml/2006/main"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2. Зарубежные компетентные органы и зарубежные производители свежих и сушеных овощей и бобовых должны выносить решения о соответствии добросовестно, основываясь на фактической ситуации сравнительной проверки.</w:t>
      </w:r>
      <w:bookmarkStart xmlns:w="http://schemas.openxmlformats.org/wordprocessingml/2006/main" w:id="0" w:name="_GoBack"/>
      <w:bookmarkEnd xmlns:w="http://schemas.openxmlformats.org/wordprocessingml/2006/main" w:id="0"/>
    </w:p>
    <w:p w:rsidR="00034B6D" w:rsidRDefault="00034B6D">
      <w:pPr xmlns:w="http://schemas.openxmlformats.org/wordprocessingml/2006/main"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 xmlns:w="http://schemas.openxmlformats.org/wordprocessingml/2006/main"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3. </w:t>
      </w:r>
      <w:r xmlns:w="http://schemas.openxmlformats.org/wordprocessingml/2006/main"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Представляемые материалы должны быть заполнены на китайском или английском языке, с полным и достоверным содержанием. Приложения должны быть пронумерованы, а номера и содержание приложений должны точно соответствовать номерам пунктов и содержанию в столбце «Требования к заполнению и сопроводительные материалы». Также необходимо предоставить каталог прилагаемых сопроводительных материалов.</w:t>
      </w:r>
    </w:p>
    <w:p w:rsidR="00034B6D" w:rsidRDefault="00034B6D">
      <w:pPr xmlns:w="http://schemas.openxmlformats.org/wordprocessingml/2006/main"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 xmlns:w="http://schemas.openxmlformats.org/wordprocessingml/2006/main"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4. Свежие и сушеные овощи – это свежие овощи или различные овощные продукты, обработанные с помощью процессов сушки, таких как консервирование, дегидрирование и сушка в духовке. К ним относятся листовые овощи, стеблевые овощи, цветная капуста, пасленовые, дыни и другие овощи, бобовые, корнеплоды и съедобные грибы. Сушеные бобы – это высушенные семена бобовых, за исключением соевых бобов.</w:t>
      </w:r>
    </w:p>
    <w:p w:rsidR="00034B6D" w:rsidRDefault="00034B6D">
      <w:pPr>
        <w:widowControl/>
        <w:spacing w:line="324" w:lineRule="atLeast"/>
        <w:jc w:val="center"/>
        <w:rPr>
          <w:rFonts w:ascii="Times New Roman" w:eastAsia="方正黑体_GBK" w:cs="Times New Roman"/>
          <w:color w:val="000000"/>
          <w:kern w:val="0"/>
          <w:sz w:val="44"/>
          <w:szCs w:val="44"/>
        </w:rPr>
      </w:pPr>
    </w:p>
    <w:tbl>
      <w:tblPr>
        <w:tblW w:w="14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3014"/>
        <w:gridCol w:w="3780"/>
        <w:gridCol w:w="3402"/>
        <w:gridCol w:w="1240"/>
        <w:gridCol w:w="1343"/>
      </w:tblGrid>
      <w:tr w:rsidR="00034B6D">
        <w:trPr>
          <w:trHeight w:val="39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проект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Условия и основания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 xml:space="preserve">Требования к заполнению и вспомогательные материалы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Аудит точек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Определение соответствия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 xml:space="preserve">Замечание</w:t>
            </w:r>
          </w:p>
        </w:tc>
      </w:tr>
      <w:tr w:rsidR="00034B6D">
        <w:trPr>
          <w:trHeight w:val="375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1. Основная информация о предприятии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 Основная информация о компании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5, 6, 7 и 8 Положений Китайской Народной Республики о регистрации и администрировании зарубежных производителей импортных продуктов питания (Приказ Главного таможенного управления № 248).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Протокол об инспекции и карантине свежих и сушеных овощей и сушеных бобов, импортируемых в Китай, подписанный между компетентными органами страны-заявителя и Главным таможенным управлением.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1.1.1 Заполните форму 1. Основная информация для зарубежных производителей импортируемых свежих и сушеных овощей и сушеных бобов.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1.1.2 Предоставьте информацию о производстве и деятельности за два года, предшествующих дате аудита (для компаний, созданных менее двух лет назад, предоставьте информацию с момента основания), включая производственную мощность, фактический годовой объем производства (по ассортименту) и объем экспорта (по ассортименту и стране, если доступно).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предоставлять достоверную информацию. Основная информация должна соответствовать информации, предоставленной компетентными органами страны-экспортера, и фактическому положению дел в сфере производства и переработки.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Свежие и сушеные овощи и сушеные бобы, экспортируемые в Китай, должны соответствовать перечню продукции, указанному в соответствующих соглашениях, протоколах, меморандумах и т. д. по инспектированию и карантину свежих и сушеных овощей и сушеных бобов, экспортируемых в Китай.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1.2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Система управления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5, 6, 7 и 8 Положений Китайской Народной Республики о регистрации и администрировании зарубежных производителей импортных продуктов питания (Приказ Главного таможенного управления № 248).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Протокол об инспекции и карантине свежих и сушеных овощей и сушеных бобов, импортируемых в Китай, подписанный между компетентными органами страны-заявителя и Главным таможенным управлением.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1.2 Предоставить документы системы управления по карантину и профилактике растений, управлению безопасностью пищевых продуктов, управлению персоналом, использованию химических веществ, приемке сырья, управлению складом, инспекции экспорта готовой продукции, отзыву некачественной продукции, управлению прослеживаемостью и т. д.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Предприятия должны разработать и эффективно внедрить документы системы управления, охватывающие, помимо прочего, карантин и контроль растений, управление безопасностью пищевых продуктов, управление персоналом, использование химических веществ, приемку сырья, управление складами, инспекцию экспорта готовой продукции, отзыв некачественной продукции, управление прослеживаемостью и т. д., а также эффективно внедрять их.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1.3 Организация управления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5, 6, 7 и 8 Положений Китайской Народной Республики о регистрации и администрировании зарубежных производителей импортных продуктов питания (Приказ Главного таможенного управления № 248).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Протокол об инспекции и карантине свежих и сушеных овощей и сушеных бобов, импортируемых в Китай, подписанный между компетентными органами страны-заявителя и Главным таможенным управлением.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1.3 Предоставьте информацию об организации управления предприятием и кадровом составе отделов или должностей, связанных с управлением здоровьем растений и безопасностью пищевых продуктов.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Предприятиям следует создать отделы или должности, ответственные за управление здоровьем растений и безопасностью пищевых продуктов, и укомплектовать их управленческим персоналом, имеющим профессиональный опыт в области здоровья растений и безопасности пищевых продуктов.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39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2. Расположение предприятия и планировка цеха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Выбор площадки и заводская среда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3.1 и 3.2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2.1.1 Предоставьте план этажа завода с указанием названий различных производственных зон.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2.1.2 Предоставить фотографии местности, где расположен завод, а также указать на фотографиях информацию об окружающей среде (городские, пригородные, промышленные, сельскохозяйственные и жилые зоны)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Планировка завода отвечает потребностям производства и переработки.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Вблизи завода нет источников загрязнения.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2.2 Планировка мастерской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4.1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2.2 Предоставить план цеха, на котором обозначены потоки людей, логистика, вода, процедуры обработки и различные зоны очистки.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Площадь и высота цеха должны быть адаптированы к производственной мощности и размещению оборудования, соответствовать технологическому процессу, а также требованиям безопасности и санитарии к обрабатываемой продукции, не допускать перекрестного загрязнения.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В мастерской должны быть открывающиеся двери и окна, а проходы, соединяющиеся с внешним миром, должны быть оборудованы устройствами, препятствующими проникновению насекомых, грызунов, птиц, летучих мышей и других летающих животных.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 xml:space="preserve">.</w:t>
            </w: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39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3. Помещения и оборудование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3.1 Производственное и технологическое оборудование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Раздел 5.2.1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3.1 Предоставьте список основного оборудования и сооружений, а также проектные и технологические возможности.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быть оснащены производственным оборудованием, соответствующим их производственным и технологическим возможностям.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57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3.2 Складские помещения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Национальный стандарт безопасности пищевых продуктов – Общая гигиеническая практика при производстве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(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GB14881), № 10.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3.2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Если имеется холодильное хранилище, опишите требования к контролю температуры и методы мониторинга. (Если применимо)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Складские помещения должны отвечать основным требованиям по хранению продукции, а также требованиям по предотвращению проникновения насекомых, контролю температуры и влажности.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8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4. </w:t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Вода/Лед/Пар</w:t>
            </w:r>
          </w:p>
        </w:tc>
      </w:tr>
      <w:tr w:rsidR="00034B6D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4.1 Производство и обработка воды/пара/льда (если применимо)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Национальный стандарт безопасности пищевых продуктов – Стандарт гигиены питьевой воды (GB 5749).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5.1.1 Национального стандарта безопасности пищевых продуктов «Общие правила гигиены при производстве пищевых продуктов» (GB14881).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4.1.1 Предприятия должны обеспечить соответствие качества воды требованиям производства и переработки и предоставлять необходимые отчеты об испытаниях производственной и технологической воды.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4.1.2 Вода, используемая в пищевой промышленности, и другая вода, не контактирующая с пищевыми продуктами (например, косвенный конденсат, сточные воды или канализационные воды), должны транспортироваться по совершенно отдельным трубопроводам, чтобы избежать перекрестного загрязнения.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Предприятия должны проверять качество производственной воды (если она используется), чтобы убедиться в ее соответствии требованиям безопасности.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36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5. Сырье и упаковочные материалы</w:t>
            </w:r>
          </w:p>
        </w:tc>
      </w:tr>
      <w:tr w:rsidR="00034B6D">
        <w:trPr>
          <w:trHeight w:val="6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5.1 Приемка и контроль сырья и вспомогательных материалов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продуктов. Общая гигиеническая практика при производстве пищевых продуктов (GB14881) № 7.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5.1 Предоставить меры приемки сырья и добавок, включая стандарты приемки и методы приемки.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Критерии приемки сырья и добавок должны соответствовать китайским нормам и стандартам.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Перед поступлением сырья на завод предприятия должны провести проверку сырья на предмет карантина растений и его безопасности или принять необходимые меры по борьбе с вредителями для обеспечения соответствия сырья требованиям безопасности производства, а также составить протоколы приемки и протоколы по борьбе с вредителями, которые должны храниться не менее 2 лет.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Источник сырья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 — Пределы содержания патогенных бактерий в пищевых продуктах (GB29921).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«Национальный стандарт безопасности пищевых продуктов – Стандарт использования пищевых добавок» (GB 2760)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Национальный стандарт безопасности пищевых продуктов – Пределы содержания микотоксинов в пищевых продуктах (GB 2761)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Национальный стандарт безопасности пищевых продуктов – Пределы содержания загрязняющих веществ в пищевых продуктах (GB 2762)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Национальный стандарт безопасности пищевых продуктов. Максимальные уровни остатков пестицидов в пищевых продуктах (GB 2763).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5.2.1 Предоставьте последний отчет об испытаниях продукции, подтверждающий ее соответствие национальным стандартам безопасности пищевых продуктов Китая (где применимо).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5.2.1 Предоставить материалы, подтверждающие, что сырье, производимое предприятием, должно поступать из районов, где не встречаются карантинные вредные организмы, представляющие интерес для Китая, а поставщики сырья имеют квалификацию, соответствующую местным требованиям.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Все используемое сырье должно соответствовать китайским законам и правилам, национальным стандартам безопасности пищевых продуктов, а также соответствующим соглашениям, протоколам и меморандумам по инспекции и карантину свежих и сушеных овощей и сухих бобов, импортируемых в Китай.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Установлена ли на предприятии оценка квалификации сырья и внедрена ли система прослеживаемости закупленного сырья в соответствии с требованиями соглашения.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5.3 Пищевые добавки (где применимо)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Статья 7.3 Национального стандарта безопасности пищевых продуктов – Общие правила гигиены при производстве пищевых продуктов (GB14881).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Национальный стандарт безопасности пищевых продуктов – Стандарт использования пищевых добавок (GB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2760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5.3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Перечень пищевых добавок, используемых при производстве и переработке (включая наименование, назначение, количество добавляемого вещества и т. д.).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Пищевые добавки, используемые в производстве, соответствуют китайским нормам использования пищевых добавок.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 xml:space="preserve"> </w:t>
            </w: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5.4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Упаковочные материалы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8.5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Соответствующие двусторонние соглашения, меморандумы и протоколы об инспекции и карантине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5.4.1 Предоставить подтверждение того, что внутренние и внешние упаковочные материалы подходят для упаковки продукции.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5.4.2 Предоставить формат этикетки для готовой продукции, экспортируемой в Китай.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Упаковочные материалы не влияют на безопасность и товарные характеристики пищевых продуктов при определенных условиях хранения и использования.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Упаковочные этикетки должны соответствовать требованиям двусторонних соглашений об инспекции и карантине, меморандумов и протоколов.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8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6. Контроль производства и переработки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6.1 Функционирование системы контроля безопасности и гигиены пищевых продуктов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8 Национального стандарта безопасности пищевых продуктов - Общие гигиенические правила производства пищевых продуктов (GB14881-2013).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Система анализа рисков и критических контрольных точек (HACCP) – Общие требования к предприятиям по производству пищевых продуктов (GB/T 27341).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6.1.1 Опишите технологический процесс производства и переработки, укажите критические контрольные точки (ККТ) и принятые меры по контролю опасностей.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6.1.2 Если принята система ХАССП, предоставьте рабочие листы анализа опасностей и листы плана ХАССП, записи мониторинга ККТ, записи исправлений и образцы записей проверки (при необходимости).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Процесс производства и переработки на предприятии, а также соответствующие основные параметры процесса должны быть научными и стандартизированными для обеспечения безопасности продукции, а в ключевых звеньях, где существуют риски безопасности, должны быть приняты специальные меры по контролю опасностей или установлены критические контрольные точки (ККТ).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6.2 Контроль микотоксинов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 — Предельно допустимые уровни микотоксинов в пищевых продуктах (GB 2761).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отчет о выборочной проверке для подтверждения того, что микотоксины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в произведенных, переработанных и хранящихся продуктах соответствуют национальным стандартам безопасности пищевых продуктов Китая.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в продуктах после производства, переработки и хранения на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перерабатывающем предприятии разумной.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Результаты испытаний должны соответствовать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национальным стандартам безопасности пищевых продуктов Китая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6.3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Использование пищевых добавок и обогатителей (где применимо)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Статья 7.3 Национального стандарта безопасности пищевых продуктов – Общие гигиенические правила производства пищевых продуктов (GB14881).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«Национальный стандарт безопасности пищевых продуктов – Стандарт использования пищевых добавок» (GB 2760).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Национальный стандарт безопасности пищевых продуктов — Стандарт использования обогатителей питательных веществ в пищевых продуктах (GB14880).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6.3 Предоставьте список пищевых добавок и обогатителей пищевых продуктов, используемых в процессе производства и переработки (включая название, назначение, добавленное количество и т. д.).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Результаты испытаний должны соответствовать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национальным стандартам безопасности пищевых продуктов Китая.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7. Очистка и дезинфекция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7.1 Очистка и дезинфекция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8.2.1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7.1 Обеспечить меры по очистке и дезинфекции, включая методы и частоту очистки и дезинфекции, а также проверку эффективности очистки и дезинфекции.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Меры по очистке и дезинфекции должны исключать перекрестное загрязнение и соответствовать требованиям гигиены.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8. Химическая обработка, борьба с отходами, вредителями и грызунами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Химический контроль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8.3 Национального стандарта безопасности пищевых продуктов – Общая гигиеническая практика при производстве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(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GB14881-2013).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Кратко опишите требования к использованию и хранению химических веществ.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Система управления химическими веществами является разумной и может эффективно предотвращать загрязнение продукции используемыми химикатами.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8.2 Управление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физическим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загрязнением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8.4 Национального стандарта безопасности пищевых продуктов – Общие гигиенические правила производства пищевых продуктов (GB14881-2013).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8.2 Предоставить систему управления и соответствующие записи обработки для предотвращения физического загрязнения.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Необходимо создать систему управления для предотвращения загрязнения инородными телами, анализа возможных источников и путей заражения, а также разработки соответствующих планов и процедур контроля.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Для максимального повышения эффективности следует принимать такие меры, как техническое обслуживание оборудования, контроль гигиены, управление на месте, внешнее управление персоналом и надзор за процессами.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Минимизируйте риск загрязнения пищевых продуктов посторонними предметами, такими как стекло, металл и пластик.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Для снижения риска загрязнения пищевых продуктов металлом или другими посторонними предметами следует принять эффективные меры, такие как установка экранов, ловушек, магнитов и металлоискателей.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 </w:t>
            </w: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 xml:space="preserve">.</w:t>
            </w:r>
            <w:r xmlns:w="http://schemas.openxmlformats.org/wordprocessingml/2006/main"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8.3 Борьба с вредителями и грызунами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6.4 Национального стандарта безопасности пищевых продуктов, Общие правила гигиены при производстве пищевых продуктов (GB14881).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8.3 Предоставьте методы борьбы с вредителями и план размещения. Если это будет делать третья сторона, укажите её квалификацию.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Не допускайте влияния вредителей, таких как комары, мухи и грызуны, на безопасность и гигиену производства.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8.4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Управление отходами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6.5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Национального стандарта безопасности пищевых продуктов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, Общие гигиенические правила производства пищевых продуктов (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GB14881).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8.4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Предоставить систему управления отходами и соответствующие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записи по переработке.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Контейнеры для пищевых продуктов и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контейнеры для хранения отходов в цехе должны быть четко обозначены и различимы.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Отходы следует хранить раздельно и своевременно утилизировать, чтобы не допустить загрязнения производства.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Не соответствует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9. </w:t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Прослеживаемость продукции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9.1 Прослеживаемость и отзыв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продуктов. Общая практика гигиены при производстве пищевых продуктов (GB14881) 11.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9.1 Кратко опишите процедуру прослеживаемости продукции. На примере номера партии готовой продукции объясните, как проследить путь готовой продукции вплоть до сырья.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Должна быть установлена процедура прослеживаемости для достижения двусторонней прослеживаемости всей цепочки сырья, производства и переработки, а также готовой продукции.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9.2 Входящее и исходящее управление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Разделы 11 и 14.1 Национального стандарта безопасности пищевых продуктов, Общие гигиенические правила производства пищевых продуктов (GB14881).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9.2 Обеспечить управление поступлением и расходом продукции на складе.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Продукция должна быть проверена перед поступлением на склад, а записи о приемке, хранении и доставке должны храниться не менее 2 лет.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10. Управление персоналом и обучение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10.1 Управление здоровьем и гигиеной персонала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6.3 Национального стандарта безопасности пищевых продуктов, Общие правила гигиены при производстве пищевых продуктов (GB14881).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10.1 Предоставить требования к контролю за здоровьем сотрудников перед их приемом на работу и проведению медицинских осмотров.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Перед приемом на работу работники обязаны пройти медицинское обследование и получить заключение о годности к работе на пищевом предприятии.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Сотрудники должны регулярно проходить медицинские осмотры и вести записи.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 xml:space="preserve"> 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10.2 Обучение персонала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продуктов. Общая практика гигиены при производстве пищевых продуктов (GB14881) 12.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10.2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Предоставлять ежегодные планы обучения сотрудников, содержание, оценки и записи.</w:t>
            </w:r>
          </w:p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Содержание обучения должно охватывать меморандум по инспекции и карантину, соглашение и протокол для свежих и сушеных овощей и сухих бобов, импортируемых в Китай, а также китайские законы, правила и стандарты .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10.3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Требования к управленческому персоналу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Раздел 13.3 Национального стандарта безопасности пищевых продуктов, Общие гигиенические правила производства пищевых продуктов (GB14881).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10.3 Предоставить записи об обучении управленческого персонала соответствующим положениям законов и правил по охране здоровья растений и безопасности пищевых продуктов страны/региона, где находится экспортируемая продукция, и Китая, а также проводить выборочные проверки на местах и задавать вопросы и ответы при необходимости.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Деловые способности производственного и управленческого персонала компании должны соответствовать требованиям работы, и они должны быть знакомы с соответствующими положениями законов и правил в области здоровья растений и безопасности пищевых продуктов страны/региона и Китая, а также с требованиями подписанного обеими сторонами протокола об экспорте свежих и сушеных овощей и сушеных бобов в Китай и настоящей спецификацией.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Обладать соответствующей квалификацией и способностями, подходящими для данной работы.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30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11. Самоанализ и самоконтроль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 Проверка готовой продукции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Национальный стандарт безопасности пищевых продуктов. Общая практика гигиены при производстве пищевых продуктов (GB14881) 9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«Национальный стандарт безопасности пищевых продуктов – Стандарт использования пищевых добавок» (GB 2760)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Национальный стандарт безопасности пищевых продуктов. Предельные значения микотоксинов в пищевых продуктах (GB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2761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Национальный стандарт безопасности пищевых продуктов – Пределы содержания загрязняющих веществ в пищевых продуктах (GB 2762)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Национальный стандарт безопасности пищевых продуктов. Максимальные уровни остатков пестицидов в пищевых продуктах (GB 2763)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11.1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Укажите элементы, показатели, методы контроля и периодичность контроля готовой продукции.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11.2 Если предприятие имеет собственную лабораторию, оно должно представить доказательства возможностей и квалификации лаборатории; если предприятие поручает проведение исследований сторонней лаборатории, оно должно представить доказательства квалификации лаборатории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проводить испытания на карантин растений, проверку безопасности пищевых продуктов и другие испытания своей продукции для обеспечения ее соответствия китайским требованиям, а также хранить записи испытаний не менее 2 лет.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Предприятия должны иметь возможность проводить карантин растений и инспекции и испытания безопасности пищевых продуктов или поручить проведение инспекций и испытаний учреждениям, имеющим соответствующую квалификацию.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12. </w:t>
            </w: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Борьба с вредителями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12.1 Профилактика и борьба с карантинными вредителями, представляющими опасность для Китая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Меморандум о взаимопонимании, соглашение и протокол по инспекции и карантину свежих и сушеных овощей и сушеных бобов, импортируемых в Китай.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12.1 Предприятие должно представить в Китай список карантинных вредителей, вызывающих беспокойство, а также систему мониторинга и результаты мониторинга.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принимать эффективные меры по предотвращению заражения продукции вредителями во время производства и хранения, а также осуществлять мониторинг карантинных вредителей, вызывающих озабоченность в Китае, при этом записи мониторинга должны храниться не менее двух лет.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12.2 Идентификация вредителей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Меморандум о взаимопонимании, соглашение и протокол по инспекции и карантину свежих и сушеных овощей и сушеных бобов, импортируемых в Китай.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12.2 Предприятие должно представлять записи о вредителях, обнаруженных в процессе производства и хранения, а также идентификационные записи, заказанной профессиональными организациями.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иметь возможность идентифицировать вредные организмы, обнаруженные в процессе производства и хранения, или поручить проведение идентификации профессиональным учреждениям, а также вести учет работ, который должен храниться не менее 2 лет.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 xml:space="preserve">.</w:t>
            </w: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12.3 Борьба с вредителями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Меморандум о взаимопонимании, соглашение и протокол по инспекции и карантину свежих и сушеных овощей и сушеных бобов, импортируемых в Китай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12.3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Предприятие должно представлять отчеты о мероприятиях по борьбе с вредителями, проведенных в производственных и складских помещениях.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Предприятия должны проводить мероприятия по борьбе с вредителями в производственных и складских помещениях регулярно или по мере необходимости . Информация о соответствующих мероприятиях должна регистрироваться и храниться не менее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 лет.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45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12.4 </w:t>
            </w: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Фумигация (при необходимости)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Меморандум о взаимопонимании, соглашение и протокол по инспекции и карантину свежих и сушеных овощей и сушеных бобов, импортируемых в Китай.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Метод фумигационной обработки должен соответствовать требованиям китайской стороны, а учреждения и персонал, осуществляющий фумигацию, должны иметь соответствующую квалификацию или условия.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соответствует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□Не применимо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034B6D">
        <w:trPr>
          <w:trHeight w:val="345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13. Отказ от ответственности</w:t>
            </w:r>
          </w:p>
        </w:tc>
      </w:tr>
      <w:tr w:rsidR="00034B6D">
        <w:trPr>
          <w:trHeight w:val="34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13.1 Корпоративное заявление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8 и 9 Положений Китайской Народной Республики о регистрации и администрировании зарубежных производителей импортных продуктов питания (Приказ Главного таможенного управления № 248)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Должна быть подпись юридического лица и печать компании.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□Не соответствует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  <w:tr w:rsidR="00034B6D">
        <w:trPr>
          <w:trHeight w:val="34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13.2 Подтверждение компетентного органа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Статьи 8 и 9 Положений Китайской Народной Республики о регистрации и администрировании зарубежных производителей импортных продуктов питания (Приказ Главного таможенного управления № 248) 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Должен быть подписан и заверен печатью компетентного органа.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□Соблюдать</w:t>
            </w:r>
          </w:p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□Не соответствует</w:t>
            </w: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B6D" w:rsidRDefault="00034B6D">
            <w:pPr xmlns:w="http://schemas.openxmlformats.org/wordprocessingml/2006/main"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 </w:t>
            </w:r>
          </w:p>
        </w:tc>
      </w:tr>
    </w:tbl>
    <w:p w:rsidR="00034B6D" w:rsidRDefault="00034B6D">
      <w:pPr>
        <w:widowControl/>
        <w:spacing w:line="324" w:lineRule="atLeast"/>
        <w:jc w:val="left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sectPr w:rsidR="00034B6D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1" w:rsidRDefault="00E10411" w:rsidP="00402B80">
      <w:r>
        <w:separator/>
      </w:r>
    </w:p>
  </w:endnote>
  <w:endnote w:type="continuationSeparator" w:id="0">
    <w:p w:rsidR="00E10411" w:rsidRDefault="00E10411" w:rsidP="004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80" w:rsidRDefault="00402B80">
    <w:pPr xmlns:w="http://schemas.openxmlformats.org/wordprocessingml/2006/main">
      <w:pStyle w:val="a4"/>
    </w:pPr>
    <w:r xmlns:w="http://schemas.openxmlformats.org/wordprocessingml/2006/main">
      <w:rPr>
        <w:rFonts w:hint="eastAsia"/>
      </w:rPr>
      <w:t xml:space="preserve">registry@foodgacc.com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1" w:rsidRDefault="00E10411" w:rsidP="00402B80">
      <w:r>
        <w:separator/>
      </w:r>
    </w:p>
  </w:footnote>
  <w:footnote w:type="continuationSeparator" w:id="0">
    <w:p w:rsidR="00E10411" w:rsidRDefault="00E10411" w:rsidP="0040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FC3075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D98C92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37A074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3D01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ABE357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E40EF3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0AEC812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A0F426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8FEA9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2309E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B"/>
    <w:rsid w:val="00034B6D"/>
    <w:rsid w:val="00402B80"/>
    <w:rsid w:val="005A05FB"/>
    <w:rsid w:val="005C7D2C"/>
    <w:rsid w:val="009B21F9"/>
    <w:rsid w:val="00D86900"/>
    <w:rsid w:val="00E1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1002</Words>
  <Characters>5714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2021-04-30T06:56:00Z</cp:lastPrinted>
  <dcterms:created xsi:type="dcterms:W3CDTF">2024-11-18T08:51:00Z</dcterms:created>
  <dcterms:modified xsi:type="dcterms:W3CDTF">2025-09-02T04:29:00Z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